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1C340" w14:textId="0187E329" w:rsidR="00EA47AF" w:rsidRDefault="00EA47AF" w:rsidP="00466A6E">
      <w:pPr>
        <w:spacing w:after="0" w:line="240" w:lineRule="auto"/>
        <w:jc w:val="both"/>
      </w:pPr>
      <w:r w:rsidRPr="00EA47AF">
        <w:t xml:space="preserve">INFORMACE O ZPRACOVÁNÍ OSOBNÍCH </w:t>
      </w:r>
      <w:r w:rsidR="00A975D5" w:rsidRPr="00EA47AF">
        <w:t>ÚDAJŮ – GDPR</w:t>
      </w:r>
    </w:p>
    <w:p w14:paraId="635B946F" w14:textId="77777777" w:rsidR="00EA47AF" w:rsidRDefault="00EA47AF" w:rsidP="00466A6E">
      <w:pPr>
        <w:spacing w:after="0" w:line="240" w:lineRule="auto"/>
        <w:jc w:val="both"/>
      </w:pPr>
    </w:p>
    <w:p w14:paraId="60313EDE" w14:textId="77777777" w:rsidR="00EA47AF" w:rsidRDefault="00EA47AF" w:rsidP="00466A6E">
      <w:pPr>
        <w:spacing w:after="0" w:line="240" w:lineRule="auto"/>
        <w:jc w:val="both"/>
      </w:pPr>
    </w:p>
    <w:p w14:paraId="353222DF" w14:textId="1E213F19" w:rsidR="00466A6E" w:rsidRDefault="00466A6E" w:rsidP="00466A6E">
      <w:pPr>
        <w:spacing w:after="0" w:line="240" w:lineRule="auto"/>
        <w:jc w:val="both"/>
      </w:pPr>
      <w:r>
        <w:t>Informace správce osobních údajů o rozsahu a způsobu zpracovávání osobních údajů fyzických osob souladu v souladu s Nařízením Evropského parlamentu a Rady (EU) 2016/679 ze dne 27. dubna 2016 o</w:t>
      </w:r>
      <w:r w:rsidR="003C3D0C">
        <w:t> </w:t>
      </w:r>
      <w:r>
        <w:t>ochraně fyzických osob v souvislosti se zpracováním osobních údajů a o volném pohybu těchto údajů a o zrušení směrnice 95/46/ES (obecné nařízení o ochraně osobních údajů), s účinností od 25.05.2018.</w:t>
      </w:r>
    </w:p>
    <w:p w14:paraId="5E3CCBA4" w14:textId="77777777" w:rsidR="00466A6E" w:rsidRDefault="00466A6E" w:rsidP="00466A6E">
      <w:pPr>
        <w:spacing w:after="0" w:line="240" w:lineRule="auto"/>
        <w:jc w:val="both"/>
      </w:pPr>
    </w:p>
    <w:p w14:paraId="5BB4904F" w14:textId="77777777" w:rsidR="00747F5F" w:rsidRDefault="00747F5F" w:rsidP="00466A6E">
      <w:pPr>
        <w:spacing w:after="0" w:line="240" w:lineRule="auto"/>
        <w:jc w:val="both"/>
      </w:pPr>
    </w:p>
    <w:p w14:paraId="3CB75E53" w14:textId="41AB1795" w:rsidR="00466A6E" w:rsidRDefault="00466A6E" w:rsidP="00466A6E">
      <w:pPr>
        <w:spacing w:after="0" w:line="240" w:lineRule="auto"/>
        <w:jc w:val="both"/>
      </w:pPr>
      <w:r>
        <w:t>TOTOŽNOST A KONTAKTNÍ ÚDAJE SPRÁVCE</w:t>
      </w:r>
    </w:p>
    <w:p w14:paraId="3C171DCE" w14:textId="77777777" w:rsidR="00466A6E" w:rsidRDefault="00466A6E" w:rsidP="00466A6E">
      <w:pPr>
        <w:spacing w:after="0" w:line="240" w:lineRule="auto"/>
        <w:jc w:val="both"/>
      </w:pPr>
    </w:p>
    <w:p w14:paraId="193FD4D9" w14:textId="499A3604" w:rsidR="00466A6E" w:rsidRDefault="00466A6E" w:rsidP="00466A6E">
      <w:pPr>
        <w:spacing w:after="0" w:line="240" w:lineRule="auto"/>
        <w:jc w:val="both"/>
      </w:pPr>
      <w:r>
        <w:t>Správcem osobních údajů týkajících se subjektu údajů získaných od subjektu údajů je:</w:t>
      </w:r>
    </w:p>
    <w:p w14:paraId="224F2639" w14:textId="77777777" w:rsidR="00EA47AF" w:rsidRDefault="00EA47AF" w:rsidP="00466A6E">
      <w:pPr>
        <w:spacing w:after="0" w:line="240" w:lineRule="auto"/>
        <w:jc w:val="both"/>
      </w:pPr>
    </w:p>
    <w:p w14:paraId="0B714463" w14:textId="7388A9E0" w:rsidR="00466A6E" w:rsidRDefault="00466A6E" w:rsidP="00466A6E">
      <w:pPr>
        <w:spacing w:after="0" w:line="240" w:lineRule="auto"/>
        <w:jc w:val="both"/>
      </w:pPr>
      <w:r>
        <w:t>Městská část Praha-</w:t>
      </w:r>
      <w:r w:rsidR="00501258">
        <w:t>Praha-Libuš</w:t>
      </w:r>
      <w:r>
        <w:t xml:space="preserve"> (dále jen „MČ“)</w:t>
      </w:r>
    </w:p>
    <w:p w14:paraId="634BD610" w14:textId="0E4B8B28" w:rsidR="00466A6E" w:rsidRDefault="00466A6E" w:rsidP="00466A6E">
      <w:pPr>
        <w:spacing w:after="0" w:line="240" w:lineRule="auto"/>
        <w:jc w:val="both"/>
      </w:pPr>
      <w:r>
        <w:t>IČ:</w:t>
      </w:r>
      <w:r>
        <w:tab/>
      </w:r>
      <w:r>
        <w:tab/>
      </w:r>
      <w:r w:rsidR="00501258" w:rsidRPr="004D2A25">
        <w:rPr>
          <w:rFonts w:cstheme="minorHAnsi"/>
          <w:color w:val="252525"/>
          <w:shd w:val="clear" w:color="auto" w:fill="FFFFFF"/>
        </w:rPr>
        <w:t>00231142</w:t>
      </w:r>
    </w:p>
    <w:p w14:paraId="545E55A0" w14:textId="3148CD04" w:rsidR="00466A6E" w:rsidRPr="004D2A25" w:rsidRDefault="00466A6E" w:rsidP="00466A6E">
      <w:pPr>
        <w:spacing w:after="0" w:line="240" w:lineRule="auto"/>
        <w:jc w:val="both"/>
        <w:rPr>
          <w:rFonts w:cstheme="minorHAnsi"/>
        </w:rPr>
      </w:pPr>
      <w:r>
        <w:t xml:space="preserve">se sídlem: </w:t>
      </w:r>
      <w:r>
        <w:tab/>
      </w:r>
      <w:r w:rsidR="00501258" w:rsidRPr="004D2A25">
        <w:rPr>
          <w:rFonts w:cstheme="minorHAnsi"/>
          <w:color w:val="252525"/>
          <w:shd w:val="clear" w:color="auto" w:fill="FFFFFF"/>
        </w:rPr>
        <w:t>Libušská 35/200, 142 00 Praha 4 – Libuš</w:t>
      </w:r>
    </w:p>
    <w:p w14:paraId="50A0D93B" w14:textId="77777777" w:rsidR="00466A6E" w:rsidRDefault="00466A6E" w:rsidP="00466A6E">
      <w:pPr>
        <w:spacing w:after="0" w:line="240" w:lineRule="auto"/>
        <w:jc w:val="both"/>
      </w:pPr>
      <w:r>
        <w:t>prostřednictvím orgánu obce, kterým je:</w:t>
      </w:r>
    </w:p>
    <w:p w14:paraId="2BEAF1EE" w14:textId="77777777" w:rsidR="00E20138" w:rsidRDefault="00E20138" w:rsidP="00466A6E">
      <w:pPr>
        <w:spacing w:after="0" w:line="240" w:lineRule="auto"/>
        <w:jc w:val="both"/>
      </w:pPr>
    </w:p>
    <w:p w14:paraId="096D11AD" w14:textId="7E6C16A8" w:rsidR="00466A6E" w:rsidRDefault="00466A6E" w:rsidP="00466A6E">
      <w:pPr>
        <w:spacing w:after="0" w:line="240" w:lineRule="auto"/>
        <w:jc w:val="both"/>
      </w:pPr>
      <w:r>
        <w:t>Úřad městské části Praha-</w:t>
      </w:r>
      <w:r w:rsidR="004D2A25">
        <w:t>Libuš</w:t>
      </w:r>
      <w:r w:rsidR="00721FBE">
        <w:t xml:space="preserve"> </w:t>
      </w:r>
      <w:r>
        <w:t xml:space="preserve">(dále jen ÚMČ), </w:t>
      </w:r>
    </w:p>
    <w:p w14:paraId="4E3C0465" w14:textId="15C0EEE6" w:rsidR="00466A6E" w:rsidRDefault="00466A6E" w:rsidP="00466A6E">
      <w:pPr>
        <w:spacing w:after="0" w:line="240" w:lineRule="auto"/>
        <w:jc w:val="both"/>
      </w:pPr>
      <w:r>
        <w:t>se sídlem:</w:t>
      </w:r>
      <w:r>
        <w:tab/>
      </w:r>
      <w:r w:rsidR="00501258" w:rsidRPr="004D2A25">
        <w:rPr>
          <w:rFonts w:cstheme="minorHAnsi"/>
          <w:color w:val="252525"/>
          <w:shd w:val="clear" w:color="auto" w:fill="FFFFFF"/>
        </w:rPr>
        <w:t>Libušská 35/200, 142 00 Praha 4 – Libuš</w:t>
      </w:r>
      <w:r>
        <w:t xml:space="preserve"> </w:t>
      </w:r>
    </w:p>
    <w:p w14:paraId="618A2DB7" w14:textId="77777777" w:rsidR="00466A6E" w:rsidRDefault="00466A6E" w:rsidP="00466A6E">
      <w:pPr>
        <w:spacing w:after="0" w:line="240" w:lineRule="auto"/>
        <w:jc w:val="both"/>
      </w:pPr>
    </w:p>
    <w:p w14:paraId="63A848A8" w14:textId="19A0D1B8" w:rsidR="00466A6E" w:rsidRDefault="00466A6E" w:rsidP="00466A6E">
      <w:pPr>
        <w:spacing w:after="0" w:line="240" w:lineRule="auto"/>
        <w:jc w:val="both"/>
      </w:pPr>
      <w:r>
        <w:t>Údaje týkajících se subjektu údajů získaných od subjektu údajů v rámci ÚMČ zpracovávají jednotlivé odbory (úseky) ÚMČ podle oblastí činností a kompetencí v souladu s platným organizačním řadem úřadu.</w:t>
      </w:r>
    </w:p>
    <w:p w14:paraId="33F8DB1F" w14:textId="77777777" w:rsidR="00466A6E" w:rsidRDefault="00466A6E" w:rsidP="00466A6E">
      <w:pPr>
        <w:spacing w:after="0" w:line="240" w:lineRule="auto"/>
        <w:jc w:val="both"/>
      </w:pPr>
    </w:p>
    <w:p w14:paraId="1B9DD866" w14:textId="752A920E" w:rsidR="00466A6E" w:rsidRDefault="00466A6E" w:rsidP="00466A6E">
      <w:pPr>
        <w:spacing w:after="0" w:line="240" w:lineRule="auto"/>
        <w:jc w:val="both"/>
      </w:pPr>
      <w:r>
        <w:t>PRÁVA SUBJEKTŮ ÚDAJŮ</w:t>
      </w:r>
    </w:p>
    <w:p w14:paraId="11838505" w14:textId="77777777" w:rsidR="00466A6E" w:rsidRDefault="00466A6E" w:rsidP="00466A6E">
      <w:pPr>
        <w:spacing w:after="0" w:line="240" w:lineRule="auto"/>
        <w:jc w:val="both"/>
      </w:pPr>
    </w:p>
    <w:p w14:paraId="7D92BA9F" w14:textId="77777777" w:rsidR="00466A6E" w:rsidRDefault="00466A6E" w:rsidP="00466A6E">
      <w:pPr>
        <w:spacing w:after="0" w:line="240" w:lineRule="auto"/>
        <w:jc w:val="both"/>
      </w:pPr>
      <w:r>
        <w:t>Přístup k údajům</w:t>
      </w:r>
    </w:p>
    <w:p w14:paraId="2275AEF1" w14:textId="77777777" w:rsidR="00466A6E" w:rsidRDefault="00466A6E" w:rsidP="00466A6E">
      <w:pPr>
        <w:pStyle w:val="Odstavecseseznamem"/>
        <w:numPr>
          <w:ilvl w:val="0"/>
          <w:numId w:val="2"/>
        </w:numPr>
        <w:spacing w:after="0" w:line="240" w:lineRule="auto"/>
        <w:jc w:val="both"/>
      </w:pPr>
      <w:r>
        <w:t>-právo získat od správce potvrzení, zda osobní údaje, které se ho týkají, jsou, či nejsou zpracovávány, a pokud tomu tak je, má právo získat přístup k těmto osobním údajům.</w:t>
      </w:r>
    </w:p>
    <w:p w14:paraId="17C51EC8" w14:textId="77777777" w:rsidR="00466A6E" w:rsidRDefault="00466A6E" w:rsidP="00466A6E">
      <w:pPr>
        <w:spacing w:after="0" w:line="240" w:lineRule="auto"/>
        <w:jc w:val="both"/>
      </w:pPr>
    </w:p>
    <w:p w14:paraId="003AABB9" w14:textId="77777777" w:rsidR="00466A6E" w:rsidRDefault="00466A6E" w:rsidP="00466A6E">
      <w:pPr>
        <w:spacing w:after="0" w:line="240" w:lineRule="auto"/>
        <w:jc w:val="both"/>
      </w:pPr>
      <w:r>
        <w:t>Oprava údajů</w:t>
      </w:r>
    </w:p>
    <w:p w14:paraId="0E00A53C" w14:textId="77777777" w:rsidR="00466A6E" w:rsidRDefault="00466A6E" w:rsidP="00466A6E">
      <w:pPr>
        <w:pStyle w:val="Odstavecseseznamem"/>
        <w:numPr>
          <w:ilvl w:val="0"/>
          <w:numId w:val="2"/>
        </w:numPr>
        <w:spacing w:after="0" w:line="240" w:lineRule="auto"/>
        <w:jc w:val="both"/>
      </w:pPr>
      <w:r>
        <w:t>právo na opravu nepřesných osobních údajů anebo doplnění neúplných osobních údajů bez zbytečného odkladu</w:t>
      </w:r>
    </w:p>
    <w:p w14:paraId="49CFB1DC" w14:textId="77777777" w:rsidR="00466A6E" w:rsidRDefault="00466A6E" w:rsidP="00466A6E">
      <w:pPr>
        <w:spacing w:after="0" w:line="240" w:lineRule="auto"/>
        <w:jc w:val="both"/>
      </w:pPr>
    </w:p>
    <w:p w14:paraId="3FE70E34" w14:textId="77777777" w:rsidR="00466A6E" w:rsidRDefault="00466A6E" w:rsidP="00466A6E">
      <w:pPr>
        <w:spacing w:after="0" w:line="240" w:lineRule="auto"/>
        <w:jc w:val="both"/>
      </w:pPr>
      <w:r>
        <w:t>Omezení zpracování (na nezbytná data a uchování dat)</w:t>
      </w:r>
    </w:p>
    <w:p w14:paraId="33B54125" w14:textId="77777777" w:rsidR="00466A6E" w:rsidRDefault="00466A6E" w:rsidP="00466A6E">
      <w:pPr>
        <w:pStyle w:val="Odstavecseseznamem"/>
        <w:numPr>
          <w:ilvl w:val="0"/>
          <w:numId w:val="2"/>
        </w:numPr>
        <w:spacing w:after="0" w:line="240" w:lineRule="auto"/>
        <w:jc w:val="both"/>
      </w:pPr>
      <w:r>
        <w:t>právo se zakládá na souhlasu subjektu údajů nebo z důvodu určení, výkonu nebo obhajoby právních nároků, z důvodu ochrany práv jiné fyzické nebo právnické osoby nebo z důvodu důležitého veřejného zájmu.</w:t>
      </w:r>
    </w:p>
    <w:p w14:paraId="4B90F099" w14:textId="77777777" w:rsidR="00466A6E" w:rsidRDefault="00466A6E" w:rsidP="00466A6E">
      <w:pPr>
        <w:spacing w:after="0" w:line="240" w:lineRule="auto"/>
        <w:jc w:val="both"/>
      </w:pPr>
    </w:p>
    <w:p w14:paraId="126AF45A" w14:textId="77777777" w:rsidR="00466A6E" w:rsidRDefault="00466A6E" w:rsidP="00466A6E">
      <w:pPr>
        <w:spacing w:after="0" w:line="240" w:lineRule="auto"/>
        <w:jc w:val="both"/>
      </w:pPr>
      <w:r>
        <w:t>Přenositelnost údajů</w:t>
      </w:r>
    </w:p>
    <w:p w14:paraId="50C89727" w14:textId="3DE1A4C5" w:rsidR="00466A6E" w:rsidRDefault="00466A6E" w:rsidP="00466A6E">
      <w:pPr>
        <w:pStyle w:val="Odstavecseseznamem"/>
        <w:numPr>
          <w:ilvl w:val="0"/>
          <w:numId w:val="2"/>
        </w:numPr>
        <w:spacing w:after="0" w:line="240" w:lineRule="auto"/>
        <w:jc w:val="both"/>
      </w:pPr>
      <w:r>
        <w:t>právo, aby osobní údaje byly předány přímo jedním správcem údajů správci druhému, je</w:t>
      </w:r>
      <w:r w:rsidR="003C3D0C">
        <w:t>-</w:t>
      </w:r>
      <w:r>
        <w:t>li to technicky proveditelné.</w:t>
      </w:r>
    </w:p>
    <w:p w14:paraId="3A5B9866" w14:textId="77777777" w:rsidR="00466A6E" w:rsidRDefault="00466A6E" w:rsidP="00466A6E">
      <w:pPr>
        <w:spacing w:after="0" w:line="240" w:lineRule="auto"/>
        <w:jc w:val="both"/>
      </w:pPr>
    </w:p>
    <w:p w14:paraId="66F243BD" w14:textId="77777777" w:rsidR="00466A6E" w:rsidRDefault="00466A6E" w:rsidP="00466A6E">
      <w:pPr>
        <w:spacing w:after="0" w:line="240" w:lineRule="auto"/>
        <w:jc w:val="both"/>
      </w:pPr>
      <w:r>
        <w:t>Výmaz údajů- právo být zapomenut</w:t>
      </w:r>
    </w:p>
    <w:p w14:paraId="46162B76" w14:textId="77777777" w:rsidR="00466A6E" w:rsidRDefault="00466A6E" w:rsidP="00466A6E">
      <w:pPr>
        <w:pStyle w:val="Odstavecseseznamem"/>
        <w:numPr>
          <w:ilvl w:val="0"/>
          <w:numId w:val="2"/>
        </w:numPr>
        <w:spacing w:after="0" w:line="240" w:lineRule="auto"/>
        <w:jc w:val="both"/>
      </w:pPr>
      <w:r>
        <w:t>právo na vymazání těch osobních údajů, které již nejsou potřebné, při odvolání souhlasu se zpracováním osobních údajů, neexistuje-li oprávněný právní důvod pro zpracování.</w:t>
      </w:r>
    </w:p>
    <w:p w14:paraId="5B8E1B6B" w14:textId="77777777" w:rsidR="00466A6E" w:rsidRDefault="00466A6E" w:rsidP="00466A6E">
      <w:pPr>
        <w:spacing w:after="0" w:line="240" w:lineRule="auto"/>
        <w:jc w:val="both"/>
      </w:pPr>
    </w:p>
    <w:p w14:paraId="75BEB1A2" w14:textId="77777777" w:rsidR="00466A6E" w:rsidRDefault="00466A6E" w:rsidP="00466A6E">
      <w:pPr>
        <w:spacing w:after="0" w:line="240" w:lineRule="auto"/>
        <w:jc w:val="both"/>
      </w:pPr>
      <w:r>
        <w:t>Právo vznést námitku</w:t>
      </w:r>
    </w:p>
    <w:p w14:paraId="484508F5" w14:textId="77777777" w:rsidR="00466A6E" w:rsidRDefault="00466A6E" w:rsidP="00466A6E">
      <w:pPr>
        <w:pStyle w:val="Odstavecseseznamem"/>
        <w:numPr>
          <w:ilvl w:val="0"/>
          <w:numId w:val="2"/>
        </w:numPr>
        <w:spacing w:after="0" w:line="240" w:lineRule="auto"/>
        <w:jc w:val="both"/>
      </w:pPr>
      <w:r>
        <w:t xml:space="preserve">právo kdykoli vznést námitku proti zpracování osobních údajů, které se jej týkají. ÚMČ údaje dále nezpracovává, pokud neprokáže závažné oprávněné důvody pro zpracování, které </w:t>
      </w:r>
      <w:r>
        <w:lastRenderedPageBreak/>
        <w:t>převažují nad zájmy nebo právy a svobodami občana, nebo pro určení, výkon nebo obhajobu právních nároků.</w:t>
      </w:r>
    </w:p>
    <w:p w14:paraId="20ADAD28" w14:textId="77777777" w:rsidR="00747F5F" w:rsidRDefault="00747F5F" w:rsidP="00747F5F">
      <w:pPr>
        <w:spacing w:after="0" w:line="240" w:lineRule="auto"/>
        <w:jc w:val="both"/>
      </w:pPr>
    </w:p>
    <w:p w14:paraId="62CCAD00" w14:textId="177DCD34" w:rsidR="00747F5F" w:rsidRDefault="00747F5F" w:rsidP="00747F5F">
      <w:pPr>
        <w:spacing w:after="0" w:line="240" w:lineRule="auto"/>
        <w:jc w:val="both"/>
      </w:pPr>
      <w:r w:rsidRPr="00747F5F">
        <w:t>ROZSAH ZPRACOVÁNÍ OSOBNÍCH ÚDAJŮ A DOBA JEJICH ULOŽENÍ</w:t>
      </w:r>
    </w:p>
    <w:p w14:paraId="425C9771" w14:textId="77777777" w:rsidR="00747F5F" w:rsidRDefault="00747F5F" w:rsidP="00747F5F">
      <w:pPr>
        <w:spacing w:after="0" w:line="240" w:lineRule="auto"/>
        <w:jc w:val="both"/>
      </w:pPr>
    </w:p>
    <w:p w14:paraId="6115CA71" w14:textId="5035FDF6" w:rsidR="00747F5F" w:rsidRDefault="00747F5F" w:rsidP="00747F5F">
      <w:pPr>
        <w:spacing w:after="0" w:line="240" w:lineRule="auto"/>
        <w:jc w:val="both"/>
      </w:pPr>
      <w:r>
        <w:t>Souhrnná tabulka přehledu agend zpracovávajících osobní údaje dle účelu zpracování, identifikace správců, zdrojů osobních údajů a jejich podoby (digitální či papírové, typu osobních údajů, podle jejich archivační lhůty a v závislosti na právním titulu a základě ( přehled zákonů a předpisů, podle nichž jsou osobní údaje zpracovávány).</w:t>
      </w:r>
    </w:p>
    <w:p w14:paraId="59E3BC93" w14:textId="65CB568F" w:rsidR="00747F5F" w:rsidRPr="00D025E8" w:rsidRDefault="00747F5F" w:rsidP="003D55B7">
      <w:pPr>
        <w:pStyle w:val="Odstavecseseznamem"/>
        <w:numPr>
          <w:ilvl w:val="0"/>
          <w:numId w:val="2"/>
        </w:numPr>
        <w:spacing w:after="0" w:line="240" w:lineRule="auto"/>
        <w:jc w:val="both"/>
      </w:pPr>
      <w:r w:rsidRPr="00D025E8">
        <w:rPr>
          <w:b/>
          <w:bCs/>
          <w:color w:val="FF0000"/>
          <w:u w:val="single"/>
        </w:rPr>
        <w:t>Rozsah zpracování osobních údajů a doba jejich uložení</w:t>
      </w:r>
      <w:r w:rsidR="003C3D0C" w:rsidRPr="00D025E8">
        <w:rPr>
          <w:b/>
          <w:bCs/>
          <w:color w:val="FF0000"/>
          <w:u w:val="single"/>
        </w:rPr>
        <w:t xml:space="preserve"> </w:t>
      </w:r>
    </w:p>
    <w:p w14:paraId="44C49FB7" w14:textId="77777777" w:rsidR="00D025E8" w:rsidRDefault="00D025E8" w:rsidP="00D025E8">
      <w:pPr>
        <w:pStyle w:val="Odstavecseseznamem"/>
        <w:spacing w:after="0" w:line="240" w:lineRule="auto"/>
        <w:jc w:val="both"/>
      </w:pPr>
      <w:bookmarkStart w:id="0" w:name="_GoBack"/>
      <w:bookmarkEnd w:id="0"/>
    </w:p>
    <w:p w14:paraId="461871D3" w14:textId="62F7DCF0" w:rsidR="00747F5F" w:rsidRDefault="00747F5F" w:rsidP="00747F5F">
      <w:pPr>
        <w:spacing w:after="0" w:line="240" w:lineRule="auto"/>
        <w:jc w:val="both"/>
      </w:pPr>
      <w:r>
        <w:t>ÚČEL ZPRACOVÁNÍ</w:t>
      </w:r>
    </w:p>
    <w:p w14:paraId="32D392AE" w14:textId="77777777" w:rsidR="00747F5F" w:rsidRDefault="00747F5F" w:rsidP="00747F5F">
      <w:pPr>
        <w:spacing w:after="0" w:line="240" w:lineRule="auto"/>
        <w:jc w:val="both"/>
      </w:pPr>
    </w:p>
    <w:p w14:paraId="79AEEDAE" w14:textId="05BD1B83" w:rsidR="00747F5F" w:rsidRDefault="00747F5F" w:rsidP="00747F5F">
      <w:pPr>
        <w:spacing w:after="0" w:line="240" w:lineRule="auto"/>
        <w:jc w:val="both"/>
      </w:pPr>
      <w:r>
        <w:t xml:space="preserve">ÚMČ má v listinné i elektronické podobě zpracovaný Přehled jednotlivých </w:t>
      </w:r>
      <w:r w:rsidR="00530F2A">
        <w:t>účelů,</w:t>
      </w:r>
      <w:r>
        <w:t xml:space="preserve"> pro které jsou osobní údaje určeny a právní základ pro zpracování.</w:t>
      </w:r>
    </w:p>
    <w:p w14:paraId="46E12F8F" w14:textId="77777777" w:rsidR="00747F5F" w:rsidRDefault="00747F5F" w:rsidP="00747F5F">
      <w:pPr>
        <w:spacing w:after="0" w:line="240" w:lineRule="auto"/>
        <w:jc w:val="both"/>
      </w:pPr>
    </w:p>
    <w:p w14:paraId="47EA6AD3" w14:textId="14A726AA" w:rsidR="00747F5F" w:rsidRDefault="00747F5F" w:rsidP="00747F5F">
      <w:pPr>
        <w:spacing w:after="0" w:line="240" w:lineRule="auto"/>
        <w:jc w:val="both"/>
      </w:pPr>
      <w:r>
        <w:t>Doba, po kterou budou osobní údaje uloženy, se řídí zákonem č.  499/2004 Sb., Zákon o archivnictví a</w:t>
      </w:r>
      <w:r w:rsidR="003270E3">
        <w:t> </w:t>
      </w:r>
      <w:r>
        <w:t>spisové službě. Subjektu údajů budou sdělena kritéria použitá pro stanovení této doby.</w:t>
      </w:r>
    </w:p>
    <w:p w14:paraId="0710ED62" w14:textId="77777777" w:rsidR="00747F5F" w:rsidRDefault="00747F5F" w:rsidP="00747F5F">
      <w:pPr>
        <w:spacing w:after="0" w:line="240" w:lineRule="auto"/>
        <w:jc w:val="both"/>
      </w:pPr>
    </w:p>
    <w:p w14:paraId="2F6F7C14" w14:textId="77777777" w:rsidR="00747F5F" w:rsidRDefault="00747F5F" w:rsidP="00747F5F">
      <w:pPr>
        <w:spacing w:after="0" w:line="240" w:lineRule="auto"/>
        <w:jc w:val="both"/>
      </w:pPr>
      <w:r>
        <w:t>Lhůta pro poskytnutí informace: nejpozději do jednoho měsíce, s ohledem na konkrétní okolnosti, za nichž jsou osobní údaje zpracovávány.</w:t>
      </w:r>
    </w:p>
    <w:p w14:paraId="26477D51" w14:textId="77777777" w:rsidR="00747F5F" w:rsidRDefault="00747F5F" w:rsidP="00747F5F">
      <w:pPr>
        <w:spacing w:after="0" w:line="240" w:lineRule="auto"/>
        <w:jc w:val="both"/>
      </w:pPr>
    </w:p>
    <w:p w14:paraId="4CDBEE03" w14:textId="39C06DF7" w:rsidR="00747F5F" w:rsidRDefault="00747F5F" w:rsidP="00747F5F">
      <w:pPr>
        <w:spacing w:after="0" w:line="240" w:lineRule="auto"/>
        <w:jc w:val="both"/>
      </w:pPr>
      <w:r>
        <w:t>JAK PODAT ŽÁDOST</w:t>
      </w:r>
    </w:p>
    <w:p w14:paraId="2C46C986" w14:textId="77777777" w:rsidR="00747F5F" w:rsidRDefault="00747F5F" w:rsidP="00747F5F">
      <w:pPr>
        <w:spacing w:after="0" w:line="240" w:lineRule="auto"/>
        <w:jc w:val="both"/>
      </w:pPr>
    </w:p>
    <w:p w14:paraId="32ADEAC1" w14:textId="77777777" w:rsidR="00747F5F" w:rsidRDefault="00747F5F" w:rsidP="00747F5F">
      <w:pPr>
        <w:spacing w:after="0" w:line="240" w:lineRule="auto"/>
        <w:jc w:val="both"/>
      </w:pPr>
      <w:r>
        <w:t>Odpovědnost za vyřízení Vašich dotazů, podnětů, námitek a požadavků nese výhradně samotný správce údajů, kterým je městská část.</w:t>
      </w:r>
    </w:p>
    <w:p w14:paraId="5513B61E" w14:textId="77777777" w:rsidR="00747F5F" w:rsidRDefault="00747F5F" w:rsidP="00747F5F">
      <w:pPr>
        <w:spacing w:after="0" w:line="240" w:lineRule="auto"/>
        <w:jc w:val="both"/>
      </w:pPr>
      <w:r>
        <w:t>ÚMČ přijímá žádost o informace jak v listinné podobě, tak i žádost podanou elektronickou formou.</w:t>
      </w:r>
    </w:p>
    <w:p w14:paraId="703E8C17" w14:textId="77777777" w:rsidR="00747F5F" w:rsidRDefault="00747F5F" w:rsidP="00747F5F">
      <w:pPr>
        <w:spacing w:after="0" w:line="240" w:lineRule="auto"/>
        <w:jc w:val="both"/>
      </w:pPr>
    </w:p>
    <w:p w14:paraId="2A913D7A" w14:textId="77777777" w:rsidR="00747F5F" w:rsidRDefault="00747F5F" w:rsidP="00747F5F">
      <w:pPr>
        <w:spacing w:after="0" w:line="240" w:lineRule="auto"/>
        <w:jc w:val="both"/>
      </w:pPr>
      <w:r>
        <w:t>Součástí přijetí žádosti je ověření totožnosti žadatele. Toto ověření žadatele je nezbytné pro ochranu osobních údajů žadatele proti neoprávněnému zpřístupnění těchto osobních informací.</w:t>
      </w:r>
    </w:p>
    <w:p w14:paraId="20F0332F" w14:textId="77777777" w:rsidR="00747F5F" w:rsidRDefault="00747F5F" w:rsidP="00747F5F">
      <w:pPr>
        <w:spacing w:after="0" w:line="240" w:lineRule="auto"/>
        <w:jc w:val="both"/>
      </w:pPr>
    </w:p>
    <w:p w14:paraId="39E85EF4" w14:textId="77777777" w:rsidR="00747F5F" w:rsidRDefault="00747F5F" w:rsidP="00747F5F">
      <w:pPr>
        <w:spacing w:after="0" w:line="240" w:lineRule="auto"/>
        <w:jc w:val="both"/>
      </w:pPr>
      <w:r>
        <w:t>Způsoby ověření totožnosti:</w:t>
      </w:r>
    </w:p>
    <w:p w14:paraId="228F780E" w14:textId="77777777" w:rsidR="00747F5F" w:rsidRDefault="00747F5F" w:rsidP="00747F5F">
      <w:pPr>
        <w:pStyle w:val="Odstavecseseznamem"/>
        <w:numPr>
          <w:ilvl w:val="0"/>
          <w:numId w:val="1"/>
        </w:numPr>
        <w:spacing w:after="0" w:line="240" w:lineRule="auto"/>
        <w:jc w:val="both"/>
      </w:pPr>
      <w:r>
        <w:t>Přijetí datovou schránkou z datové schránky subjektu údajů</w:t>
      </w:r>
    </w:p>
    <w:p w14:paraId="74FD7A83" w14:textId="77777777" w:rsidR="00747F5F" w:rsidRDefault="00747F5F" w:rsidP="00747F5F">
      <w:pPr>
        <w:pStyle w:val="Odstavecseseznamem"/>
        <w:numPr>
          <w:ilvl w:val="0"/>
          <w:numId w:val="1"/>
        </w:numPr>
        <w:spacing w:after="0" w:line="240" w:lineRule="auto"/>
        <w:jc w:val="both"/>
      </w:pPr>
      <w:r>
        <w:t>Přijetí prostřednictvím e-podatelny, kde podání je podepsáno platným kvalifikovaným elektronickým podpisem</w:t>
      </w:r>
    </w:p>
    <w:p w14:paraId="3B51F418" w14:textId="703B3F0C" w:rsidR="00747F5F" w:rsidRDefault="00747F5F" w:rsidP="00747F5F">
      <w:pPr>
        <w:pStyle w:val="Odstavecseseznamem"/>
        <w:numPr>
          <w:ilvl w:val="0"/>
          <w:numId w:val="1"/>
        </w:numPr>
        <w:spacing w:after="0" w:line="240" w:lineRule="auto"/>
        <w:jc w:val="both"/>
      </w:pPr>
      <w:r>
        <w:t>Ověřením totožnosti na podatelně ÚMČ</w:t>
      </w:r>
    </w:p>
    <w:p w14:paraId="520E03FA" w14:textId="77777777" w:rsidR="00747F5F" w:rsidRDefault="00747F5F" w:rsidP="00747F5F">
      <w:pPr>
        <w:pStyle w:val="Odstavecseseznamem"/>
        <w:numPr>
          <w:ilvl w:val="0"/>
          <w:numId w:val="1"/>
        </w:numPr>
        <w:spacing w:after="0" w:line="240" w:lineRule="auto"/>
        <w:jc w:val="both"/>
      </w:pPr>
      <w:r>
        <w:t>Žádost je podepsána ověřeným podpisem (úřad, notář)</w:t>
      </w:r>
    </w:p>
    <w:p w14:paraId="7EBB5DB1" w14:textId="77777777" w:rsidR="00747F5F" w:rsidRDefault="00747F5F" w:rsidP="00747F5F">
      <w:pPr>
        <w:spacing w:after="0" w:line="240" w:lineRule="auto"/>
        <w:jc w:val="both"/>
      </w:pPr>
      <w:r>
        <w:t>Jiný způsob ověření není přípustný.</w:t>
      </w:r>
    </w:p>
    <w:p w14:paraId="75064144" w14:textId="77777777" w:rsidR="00747F5F" w:rsidRDefault="00747F5F" w:rsidP="00747F5F">
      <w:pPr>
        <w:spacing w:after="0" w:line="240" w:lineRule="auto"/>
        <w:jc w:val="both"/>
      </w:pPr>
    </w:p>
    <w:p w14:paraId="0C02B22F" w14:textId="77777777" w:rsidR="00747F5F" w:rsidRPr="00EA47AF" w:rsidRDefault="00747F5F" w:rsidP="00747F5F">
      <w:pPr>
        <w:spacing w:after="0" w:line="240" w:lineRule="auto"/>
        <w:jc w:val="both"/>
      </w:pPr>
      <w:r w:rsidRPr="00EA47AF">
        <w:rPr>
          <w:b/>
          <w:bCs/>
        </w:rPr>
        <w:t>Kontaktní údaje pro podání</w:t>
      </w:r>
      <w:r>
        <w:rPr>
          <w:b/>
          <w:bCs/>
        </w:rPr>
        <w:t xml:space="preserve"> </w:t>
      </w:r>
    </w:p>
    <w:tbl>
      <w:tblPr>
        <w:tblW w:w="8881" w:type="dxa"/>
        <w:tblCellMar>
          <w:top w:w="15" w:type="dxa"/>
          <w:left w:w="15" w:type="dxa"/>
          <w:bottom w:w="15" w:type="dxa"/>
          <w:right w:w="15" w:type="dxa"/>
        </w:tblCellMar>
        <w:tblLook w:val="04A0" w:firstRow="1" w:lastRow="0" w:firstColumn="1" w:lastColumn="0" w:noHBand="0" w:noVBand="1"/>
      </w:tblPr>
      <w:tblGrid>
        <w:gridCol w:w="4261"/>
        <w:gridCol w:w="4620"/>
      </w:tblGrid>
      <w:tr w:rsidR="00747F5F" w:rsidRPr="00EA47AF" w14:paraId="49AF18C6" w14:textId="77777777" w:rsidTr="00747F5F">
        <w:trPr>
          <w:trHeight w:val="227"/>
        </w:trPr>
        <w:tc>
          <w:tcPr>
            <w:tcW w:w="4261" w:type="dxa"/>
            <w:tcBorders>
              <w:top w:val="single" w:sz="6" w:space="0" w:color="D6D6E9"/>
              <w:left w:val="single" w:sz="6" w:space="0" w:color="D6D6E9"/>
              <w:bottom w:val="single" w:sz="6" w:space="0" w:color="D6D6E9"/>
              <w:right w:val="single" w:sz="6" w:space="0" w:color="D6D6E9"/>
            </w:tcBorders>
            <w:shd w:val="clear" w:color="auto" w:fill="auto"/>
            <w:tcMar>
              <w:top w:w="120" w:type="dxa"/>
              <w:left w:w="150" w:type="dxa"/>
              <w:bottom w:w="120" w:type="dxa"/>
              <w:right w:w="150" w:type="dxa"/>
            </w:tcMar>
          </w:tcPr>
          <w:p w14:paraId="5E7A7EE1" w14:textId="77777777" w:rsidR="00747F5F" w:rsidRDefault="00747F5F" w:rsidP="00076018">
            <w:pPr>
              <w:spacing w:after="0" w:line="240" w:lineRule="auto"/>
            </w:pPr>
            <w:r>
              <w:t xml:space="preserve">Listinné podání </w:t>
            </w:r>
          </w:p>
          <w:p w14:paraId="1C62545C" w14:textId="77777777" w:rsidR="00747F5F" w:rsidRPr="00EA47AF" w:rsidRDefault="00747F5F" w:rsidP="00076018">
            <w:pPr>
              <w:spacing w:after="0" w:line="240" w:lineRule="auto"/>
            </w:pPr>
            <w:r>
              <w:t>( s ověřeným podpisem)</w:t>
            </w:r>
          </w:p>
        </w:tc>
        <w:tc>
          <w:tcPr>
            <w:tcW w:w="4620" w:type="dxa"/>
            <w:tcBorders>
              <w:top w:val="single" w:sz="6" w:space="0" w:color="D6D6E9"/>
              <w:left w:val="single" w:sz="6" w:space="0" w:color="D6D6E9"/>
              <w:bottom w:val="single" w:sz="6" w:space="0" w:color="D6D6E9"/>
              <w:right w:val="single" w:sz="6" w:space="0" w:color="D6D6E9"/>
            </w:tcBorders>
            <w:shd w:val="clear" w:color="auto" w:fill="auto"/>
            <w:tcMar>
              <w:top w:w="120" w:type="dxa"/>
              <w:left w:w="150" w:type="dxa"/>
              <w:bottom w:w="120" w:type="dxa"/>
              <w:right w:w="150" w:type="dxa"/>
            </w:tcMar>
          </w:tcPr>
          <w:p w14:paraId="034B0001" w14:textId="604AE1A0" w:rsidR="00747F5F" w:rsidRDefault="00747F5F" w:rsidP="00076018">
            <w:pPr>
              <w:tabs>
                <w:tab w:val="left" w:pos="5776"/>
              </w:tabs>
              <w:spacing w:after="0" w:line="240" w:lineRule="auto"/>
            </w:pPr>
            <w:r>
              <w:t>Městská část Praha-</w:t>
            </w:r>
            <w:r w:rsidR="00842244">
              <w:t>Libuš</w:t>
            </w:r>
          </w:p>
          <w:p w14:paraId="6F4BCAC7" w14:textId="774460A8" w:rsidR="00747F5F" w:rsidRPr="00EA47AF" w:rsidRDefault="00842244" w:rsidP="00076018">
            <w:pPr>
              <w:tabs>
                <w:tab w:val="left" w:pos="5776"/>
              </w:tabs>
              <w:spacing w:after="0" w:line="240" w:lineRule="auto"/>
            </w:pPr>
            <w:r w:rsidRPr="004D2A25">
              <w:rPr>
                <w:rFonts w:cstheme="minorHAnsi"/>
                <w:color w:val="252525"/>
                <w:shd w:val="clear" w:color="auto" w:fill="FFFFFF"/>
              </w:rPr>
              <w:t>Libušská 35/200, 142 00 Praha 4 – Libuš</w:t>
            </w:r>
          </w:p>
        </w:tc>
      </w:tr>
      <w:tr w:rsidR="00842244" w:rsidRPr="00EA47AF" w14:paraId="5DEA2B1A" w14:textId="77777777" w:rsidTr="00747F5F">
        <w:trPr>
          <w:trHeight w:val="227"/>
        </w:trPr>
        <w:tc>
          <w:tcPr>
            <w:tcW w:w="4261" w:type="dxa"/>
            <w:tcBorders>
              <w:top w:val="single" w:sz="6" w:space="0" w:color="D6D6E9"/>
              <w:left w:val="single" w:sz="6" w:space="0" w:color="D6D6E9"/>
              <w:bottom w:val="single" w:sz="6" w:space="0" w:color="D6D6E9"/>
              <w:right w:val="single" w:sz="6" w:space="0" w:color="D6D6E9"/>
            </w:tcBorders>
            <w:shd w:val="clear" w:color="auto" w:fill="auto"/>
            <w:tcMar>
              <w:top w:w="120" w:type="dxa"/>
              <w:left w:w="150" w:type="dxa"/>
              <w:bottom w:w="120" w:type="dxa"/>
              <w:right w:w="150" w:type="dxa"/>
            </w:tcMar>
          </w:tcPr>
          <w:p w14:paraId="5D5644A9" w14:textId="77777777" w:rsidR="00842244" w:rsidRDefault="00842244" w:rsidP="00842244">
            <w:pPr>
              <w:spacing w:after="0" w:line="240" w:lineRule="auto"/>
            </w:pPr>
            <w:r>
              <w:t xml:space="preserve">Osobní podání </w:t>
            </w:r>
          </w:p>
        </w:tc>
        <w:tc>
          <w:tcPr>
            <w:tcW w:w="4620" w:type="dxa"/>
            <w:tcBorders>
              <w:top w:val="single" w:sz="6" w:space="0" w:color="D6D6E9"/>
              <w:left w:val="single" w:sz="6" w:space="0" w:color="D6D6E9"/>
              <w:bottom w:val="single" w:sz="6" w:space="0" w:color="D6D6E9"/>
              <w:right w:val="single" w:sz="6" w:space="0" w:color="D6D6E9"/>
            </w:tcBorders>
            <w:shd w:val="clear" w:color="auto" w:fill="auto"/>
            <w:tcMar>
              <w:top w:w="120" w:type="dxa"/>
              <w:left w:w="150" w:type="dxa"/>
              <w:bottom w:w="120" w:type="dxa"/>
              <w:right w:w="150" w:type="dxa"/>
            </w:tcMar>
          </w:tcPr>
          <w:p w14:paraId="44ACC97C" w14:textId="77777777" w:rsidR="00842244" w:rsidRDefault="00842244" w:rsidP="00842244">
            <w:pPr>
              <w:tabs>
                <w:tab w:val="left" w:pos="5776"/>
              </w:tabs>
              <w:spacing w:after="0" w:line="240" w:lineRule="auto"/>
            </w:pPr>
            <w:r>
              <w:t>Městská část Praha-Libuš</w:t>
            </w:r>
          </w:p>
          <w:p w14:paraId="5A6E8B7D" w14:textId="33BA7DC7" w:rsidR="00842244" w:rsidRDefault="00842244" w:rsidP="00842244">
            <w:pPr>
              <w:tabs>
                <w:tab w:val="left" w:pos="5776"/>
              </w:tabs>
              <w:spacing w:after="0" w:line="240" w:lineRule="auto"/>
            </w:pPr>
            <w:r w:rsidRPr="004D2A25">
              <w:rPr>
                <w:rFonts w:cstheme="minorHAnsi"/>
                <w:color w:val="252525"/>
                <w:shd w:val="clear" w:color="auto" w:fill="FFFFFF"/>
              </w:rPr>
              <w:t>Libušská 35/200, 142 00 Praha 4 – Libuš</w:t>
            </w:r>
          </w:p>
        </w:tc>
      </w:tr>
      <w:tr w:rsidR="00842244" w:rsidRPr="00EA47AF" w14:paraId="083AEE3D" w14:textId="77777777" w:rsidTr="00747F5F">
        <w:trPr>
          <w:trHeight w:val="227"/>
        </w:trPr>
        <w:tc>
          <w:tcPr>
            <w:tcW w:w="4261" w:type="dxa"/>
            <w:tcBorders>
              <w:top w:val="single" w:sz="6" w:space="0" w:color="D6D6E9"/>
              <w:left w:val="single" w:sz="6" w:space="0" w:color="D6D6E9"/>
              <w:bottom w:val="single" w:sz="6" w:space="0" w:color="D6D6E9"/>
              <w:right w:val="single" w:sz="6" w:space="0" w:color="D6D6E9"/>
            </w:tcBorders>
            <w:shd w:val="clear" w:color="auto" w:fill="auto"/>
            <w:tcMar>
              <w:top w:w="120" w:type="dxa"/>
              <w:left w:w="150" w:type="dxa"/>
              <w:bottom w:w="120" w:type="dxa"/>
              <w:right w:w="150" w:type="dxa"/>
            </w:tcMar>
            <w:hideMark/>
          </w:tcPr>
          <w:p w14:paraId="2135DBC7" w14:textId="146C7737" w:rsidR="00842244" w:rsidRPr="00EA47AF" w:rsidRDefault="00842244" w:rsidP="00842244">
            <w:pPr>
              <w:spacing w:after="0" w:line="240" w:lineRule="auto"/>
            </w:pPr>
            <w:r w:rsidRPr="00EA47AF">
              <w:t>e-mail</w:t>
            </w:r>
            <w:r>
              <w:t>em (s</w:t>
            </w:r>
            <w:r w:rsidRPr="00EA47AF">
              <w:t xml:space="preserve"> platným kvalifikovaným elektronickým podpisem</w:t>
            </w:r>
            <w:r>
              <w:t>)</w:t>
            </w:r>
          </w:p>
        </w:tc>
        <w:tc>
          <w:tcPr>
            <w:tcW w:w="4620" w:type="dxa"/>
            <w:tcBorders>
              <w:top w:val="single" w:sz="6" w:space="0" w:color="D6D6E9"/>
              <w:left w:val="single" w:sz="6" w:space="0" w:color="D6D6E9"/>
              <w:bottom w:val="single" w:sz="6" w:space="0" w:color="D6D6E9"/>
              <w:right w:val="single" w:sz="6" w:space="0" w:color="D6D6E9"/>
            </w:tcBorders>
            <w:shd w:val="clear" w:color="auto" w:fill="auto"/>
            <w:tcMar>
              <w:top w:w="120" w:type="dxa"/>
              <w:left w:w="150" w:type="dxa"/>
              <w:bottom w:w="120" w:type="dxa"/>
              <w:right w:w="150" w:type="dxa"/>
            </w:tcMar>
            <w:hideMark/>
          </w:tcPr>
          <w:p w14:paraId="2A3D2ED8" w14:textId="03F4C71E" w:rsidR="00842244" w:rsidRPr="00EA47AF" w:rsidRDefault="00842244" w:rsidP="00842244">
            <w:pPr>
              <w:spacing w:after="0" w:line="240" w:lineRule="auto"/>
            </w:pPr>
            <w:r>
              <w:t>mc.libus@praha-libus.cz</w:t>
            </w:r>
          </w:p>
        </w:tc>
      </w:tr>
      <w:tr w:rsidR="00842244" w:rsidRPr="00EA47AF" w14:paraId="25524AF1" w14:textId="77777777" w:rsidTr="00747F5F">
        <w:trPr>
          <w:trHeight w:val="227"/>
        </w:trPr>
        <w:tc>
          <w:tcPr>
            <w:tcW w:w="4261" w:type="dxa"/>
            <w:tcBorders>
              <w:top w:val="single" w:sz="6" w:space="0" w:color="D6D6E9"/>
              <w:left w:val="single" w:sz="6" w:space="0" w:color="D6D6E9"/>
              <w:bottom w:val="single" w:sz="6" w:space="0" w:color="D6D6E9"/>
              <w:right w:val="single" w:sz="6" w:space="0" w:color="D6D6E9"/>
            </w:tcBorders>
            <w:shd w:val="clear" w:color="auto" w:fill="auto"/>
            <w:tcMar>
              <w:top w:w="120" w:type="dxa"/>
              <w:left w:w="150" w:type="dxa"/>
              <w:bottom w:w="120" w:type="dxa"/>
              <w:right w:w="150" w:type="dxa"/>
            </w:tcMar>
            <w:vAlign w:val="center"/>
            <w:hideMark/>
          </w:tcPr>
          <w:p w14:paraId="57D23E80" w14:textId="77777777" w:rsidR="00842244" w:rsidRPr="00EA47AF" w:rsidRDefault="00842244" w:rsidP="00842244">
            <w:pPr>
              <w:spacing w:after="0" w:line="240" w:lineRule="auto"/>
            </w:pPr>
            <w:r w:rsidRPr="00EA47AF">
              <w:t>ID</w:t>
            </w:r>
            <w:r>
              <w:t xml:space="preserve"> datové schránky</w:t>
            </w:r>
            <w:r w:rsidRPr="00EA47AF">
              <w:t> </w:t>
            </w:r>
          </w:p>
        </w:tc>
        <w:tc>
          <w:tcPr>
            <w:tcW w:w="4620" w:type="dxa"/>
            <w:tcBorders>
              <w:top w:val="single" w:sz="6" w:space="0" w:color="D6D6E9"/>
              <w:left w:val="single" w:sz="6" w:space="0" w:color="D6D6E9"/>
              <w:bottom w:val="single" w:sz="6" w:space="0" w:color="D6D6E9"/>
              <w:right w:val="single" w:sz="6" w:space="0" w:color="D6D6E9"/>
            </w:tcBorders>
            <w:shd w:val="clear" w:color="auto" w:fill="auto"/>
            <w:tcMar>
              <w:top w:w="120" w:type="dxa"/>
              <w:left w:w="150" w:type="dxa"/>
              <w:bottom w:w="120" w:type="dxa"/>
              <w:right w:w="150" w:type="dxa"/>
            </w:tcMar>
            <w:vAlign w:val="center"/>
            <w:hideMark/>
          </w:tcPr>
          <w:p w14:paraId="37B49203" w14:textId="0DCAE8EA" w:rsidR="00842244" w:rsidRPr="00EA47AF" w:rsidRDefault="00842244" w:rsidP="00842244">
            <w:pPr>
              <w:spacing w:after="0" w:line="240" w:lineRule="auto"/>
            </w:pPr>
            <w:r>
              <w:rPr>
                <w:rFonts w:ascii="Arial" w:hAnsi="Arial" w:cs="Arial"/>
                <w:color w:val="252525"/>
                <w:sz w:val="21"/>
                <w:szCs w:val="21"/>
                <w:shd w:val="clear" w:color="auto" w:fill="FFFFFF"/>
              </w:rPr>
              <w:t>u8xaktr</w:t>
            </w:r>
          </w:p>
        </w:tc>
      </w:tr>
    </w:tbl>
    <w:p w14:paraId="24022FCC" w14:textId="77777777" w:rsidR="00466A6E" w:rsidRDefault="00466A6E" w:rsidP="00466A6E">
      <w:pPr>
        <w:spacing w:after="0" w:line="240" w:lineRule="auto"/>
        <w:jc w:val="both"/>
      </w:pPr>
    </w:p>
    <w:p w14:paraId="02F05A3D" w14:textId="77777777" w:rsidR="00466A6E" w:rsidRDefault="00466A6E" w:rsidP="00466A6E">
      <w:pPr>
        <w:spacing w:after="0" w:line="240" w:lineRule="auto"/>
        <w:jc w:val="both"/>
      </w:pPr>
      <w:r>
        <w:lastRenderedPageBreak/>
        <w:t>NEOPRÁVNĚNÉ POŽADAVKY SUBJEKTU ÚDAJŮ A JEJICH ŘEŠENÍ</w:t>
      </w:r>
    </w:p>
    <w:p w14:paraId="59C28151" w14:textId="77777777" w:rsidR="00466A6E" w:rsidRDefault="00466A6E" w:rsidP="00466A6E">
      <w:pPr>
        <w:spacing w:after="0" w:line="240" w:lineRule="auto"/>
        <w:jc w:val="both"/>
      </w:pPr>
    </w:p>
    <w:p w14:paraId="15E7F23F" w14:textId="77777777" w:rsidR="00466A6E" w:rsidRDefault="00466A6E" w:rsidP="00466A6E">
      <w:pPr>
        <w:spacing w:after="0" w:line="240" w:lineRule="auto"/>
        <w:jc w:val="both"/>
      </w:pPr>
      <w:r>
        <w:t>Právo na poskytnutí informací není absolutní. Nepřiměřené, opakující se a kverulantní žádosti, kterými se žadatel dožaduje poskytnutí informace. Jsou-li žádosti podané subjektem údajů zjevně nedůvodné nebo nepřiměřené, může správce uložit přiměřený poplatek, který zohledňuje administrativní náklady spojené s poskytnutím požadovaných informací nebo sdělení nebo s učiněním požadovaných úkonů. Může také odmítnout žádosti vyhovět. V takovém případě ÚMČ v součinnosti s pověřencem zpracuje stručné zdůvodnění, v němž žadatele vyrozumí o odmítnutí a uvede důvody, pro které žádosti nevyhověl. Současně mu poskytne informaci o právu obrátit se na dozorový úřad ÚOOÚ a soudní orgán.</w:t>
      </w:r>
    </w:p>
    <w:p w14:paraId="4F6505A1" w14:textId="77777777" w:rsidR="003C3D0C" w:rsidRDefault="003C3D0C" w:rsidP="003C3D0C">
      <w:pPr>
        <w:spacing w:after="0" w:line="240" w:lineRule="auto"/>
        <w:jc w:val="both"/>
      </w:pPr>
    </w:p>
    <w:p w14:paraId="6A12D92A" w14:textId="3E5EA176" w:rsidR="003C3D0C" w:rsidRDefault="003C3D0C" w:rsidP="003C3D0C">
      <w:pPr>
        <w:spacing w:after="0" w:line="240" w:lineRule="auto"/>
        <w:jc w:val="both"/>
      </w:pPr>
      <w:r>
        <w:t xml:space="preserve">POVĚŘENCE PRO OCHRANU OSOBNÍCH ÚDAJŮ </w:t>
      </w:r>
    </w:p>
    <w:p w14:paraId="7022137F" w14:textId="77777777" w:rsidR="003C3D0C" w:rsidRDefault="003C3D0C" w:rsidP="003C3D0C">
      <w:pPr>
        <w:spacing w:after="0" w:line="240" w:lineRule="auto"/>
        <w:jc w:val="both"/>
      </w:pPr>
    </w:p>
    <w:p w14:paraId="6652D6E9" w14:textId="77777777" w:rsidR="003C3D0C" w:rsidRDefault="003C3D0C" w:rsidP="003C3D0C">
      <w:pPr>
        <w:spacing w:after="0" w:line="240" w:lineRule="auto"/>
        <w:jc w:val="both"/>
      </w:pPr>
      <w:r>
        <w:t>Pověřenec je v přímém kontaktu s vedením MČ a má přímý přístup k vedení MČ. Pověřenec je kvalifikovanou osobou, znalou právních předpisů na ochranu osobních údajů (včetně důkladné znalosti Nařízení). Pověřenec pro ochranu osobních údajů byl jmenován na základě svých profesních kvalit, zejména na základě svých odborných znalostí práva a praxe v oblasti ochrany údajů a své schopnosti plnit úkoly stanovené v článku 39 Nařízení.</w:t>
      </w:r>
    </w:p>
    <w:p w14:paraId="130B9884" w14:textId="77777777" w:rsidR="003C3D0C" w:rsidRDefault="003C3D0C" w:rsidP="003C3D0C">
      <w:pPr>
        <w:spacing w:after="0" w:line="240" w:lineRule="auto"/>
        <w:jc w:val="both"/>
      </w:pPr>
    </w:p>
    <w:p w14:paraId="3EE6BAB3" w14:textId="77777777" w:rsidR="003C3D0C" w:rsidRDefault="003C3D0C" w:rsidP="003C3D0C">
      <w:pPr>
        <w:spacing w:after="0" w:line="240" w:lineRule="auto"/>
        <w:jc w:val="both"/>
      </w:pPr>
      <w:r>
        <w:t>Pověřenec je vázaný mlčenlivostí o skutečnostech, které se v souvislosti s výkonem své funkce dozvěděl.</w:t>
      </w:r>
    </w:p>
    <w:p w14:paraId="34952817" w14:textId="77777777" w:rsidR="003C3D0C" w:rsidRDefault="003C3D0C" w:rsidP="003C3D0C">
      <w:pPr>
        <w:spacing w:after="0" w:line="240" w:lineRule="auto"/>
        <w:jc w:val="both"/>
      </w:pPr>
    </w:p>
    <w:p w14:paraId="592FC3A2" w14:textId="77777777" w:rsidR="003C3D0C" w:rsidRDefault="003C3D0C" w:rsidP="003C3D0C">
      <w:pPr>
        <w:spacing w:after="0" w:line="240" w:lineRule="auto"/>
        <w:jc w:val="both"/>
      </w:pPr>
      <w:r>
        <w:t>Pověřenec je rovněž kontaktní osobou pro dozorový orgán, kterým je Úřad pro ochranu osobních údajů, jakož i pro jednotlivce, k nimž se osobní údaje vztahují (občané). Tito se mohou na pověřence obracet ve všech záležitostech souvisejících se zpracováním jejich osobních údajů a výkonem jejich práv podle Nařízení.</w:t>
      </w:r>
    </w:p>
    <w:p w14:paraId="1871106B" w14:textId="77777777" w:rsidR="003C3D0C" w:rsidRDefault="003C3D0C" w:rsidP="003C3D0C">
      <w:pPr>
        <w:spacing w:after="0" w:line="240" w:lineRule="auto"/>
        <w:jc w:val="both"/>
      </w:pPr>
    </w:p>
    <w:p w14:paraId="448FA84C" w14:textId="77777777" w:rsidR="003C3D0C" w:rsidRDefault="003C3D0C" w:rsidP="003C3D0C">
      <w:pPr>
        <w:spacing w:after="0" w:line="240" w:lineRule="auto"/>
        <w:jc w:val="both"/>
      </w:pPr>
      <w:r>
        <w:t>Odpovědnost za vyřízení Vašich dotazů, podnětů, námitek a požadavků nese výhradně samotný správce údajů, kterým je městská část.</w:t>
      </w:r>
    </w:p>
    <w:p w14:paraId="563833C4" w14:textId="77777777" w:rsidR="003C3D0C" w:rsidRDefault="003C3D0C" w:rsidP="003C3D0C">
      <w:pPr>
        <w:spacing w:after="0" w:line="240" w:lineRule="auto"/>
        <w:jc w:val="both"/>
      </w:pPr>
    </w:p>
    <w:p w14:paraId="4526BCF8" w14:textId="77777777" w:rsidR="003C3D0C" w:rsidRDefault="003C3D0C" w:rsidP="003C3D0C">
      <w:pPr>
        <w:spacing w:after="0" w:line="240" w:lineRule="auto"/>
        <w:jc w:val="both"/>
      </w:pPr>
      <w:r>
        <w:t>Kontaktní údaje pověřence :</w:t>
      </w:r>
    </w:p>
    <w:p w14:paraId="7A2C5CF8" w14:textId="77777777" w:rsidR="003C3D0C" w:rsidRDefault="003C3D0C" w:rsidP="003C3D0C">
      <w:pPr>
        <w:spacing w:after="0" w:line="240" w:lineRule="auto"/>
        <w:jc w:val="both"/>
      </w:pPr>
      <w:r>
        <w:t>Operátor ICT, a.s.</w:t>
      </w:r>
    </w:p>
    <w:p w14:paraId="12F77EFF" w14:textId="77777777" w:rsidR="003C3D0C" w:rsidRDefault="003C3D0C" w:rsidP="003C3D0C">
      <w:pPr>
        <w:spacing w:after="0" w:line="240" w:lineRule="auto"/>
        <w:jc w:val="both"/>
      </w:pPr>
      <w:r>
        <w:t xml:space="preserve">Telefon: </w:t>
      </w:r>
      <w:r>
        <w:tab/>
        <w:t>+420 246 030 971</w:t>
      </w:r>
    </w:p>
    <w:p w14:paraId="3BCFBB81" w14:textId="77777777" w:rsidR="003C3D0C" w:rsidRDefault="003C3D0C" w:rsidP="003C3D0C">
      <w:pPr>
        <w:spacing w:after="0" w:line="240" w:lineRule="auto"/>
        <w:jc w:val="both"/>
      </w:pPr>
      <w:r>
        <w:t>Se sídlem:</w:t>
      </w:r>
      <w:r>
        <w:tab/>
        <w:t>Dělnická 213/12, 170 00 Praha 7 - Holešovice</w:t>
      </w:r>
    </w:p>
    <w:p w14:paraId="2B59068D" w14:textId="77777777" w:rsidR="003C3D0C" w:rsidRDefault="003C3D0C" w:rsidP="003C3D0C">
      <w:pPr>
        <w:spacing w:after="0" w:line="240" w:lineRule="auto"/>
        <w:jc w:val="both"/>
      </w:pPr>
      <w:r>
        <w:t>IČ:</w:t>
      </w:r>
      <w:r>
        <w:tab/>
      </w:r>
      <w:r>
        <w:tab/>
        <w:t>02795281</w:t>
      </w:r>
    </w:p>
    <w:p w14:paraId="115D1C07" w14:textId="77777777" w:rsidR="003C3D0C" w:rsidRDefault="003C3D0C" w:rsidP="003C3D0C">
      <w:pPr>
        <w:spacing w:after="0" w:line="240" w:lineRule="auto"/>
        <w:jc w:val="both"/>
      </w:pPr>
      <w:r>
        <w:t xml:space="preserve">e-mail:  </w:t>
      </w:r>
      <w:r>
        <w:tab/>
        <w:t>dpo@operatorict.cz</w:t>
      </w:r>
    </w:p>
    <w:p w14:paraId="3C08F2FD" w14:textId="77777777" w:rsidR="003C3D0C" w:rsidRDefault="003C3D0C" w:rsidP="003C3D0C">
      <w:pPr>
        <w:spacing w:after="0" w:line="240" w:lineRule="auto"/>
        <w:jc w:val="both"/>
      </w:pPr>
    </w:p>
    <w:p w14:paraId="2880A3A6" w14:textId="77777777" w:rsidR="003C3D0C" w:rsidRDefault="003C3D0C" w:rsidP="00466A6E">
      <w:pPr>
        <w:spacing w:after="0" w:line="240" w:lineRule="auto"/>
        <w:jc w:val="both"/>
      </w:pPr>
    </w:p>
    <w:p w14:paraId="4EF79716" w14:textId="7F321380" w:rsidR="00466A6E" w:rsidRDefault="00466A6E" w:rsidP="00466A6E">
      <w:pPr>
        <w:spacing w:after="0" w:line="240" w:lineRule="auto"/>
        <w:jc w:val="both"/>
      </w:pPr>
      <w:r>
        <w:t>PRÁVO PODAT STÍŽNOST U DOZOROVÉHO ÚŘADU</w:t>
      </w:r>
    </w:p>
    <w:p w14:paraId="3C429606" w14:textId="77777777" w:rsidR="00466A6E" w:rsidRDefault="00466A6E" w:rsidP="00466A6E">
      <w:pPr>
        <w:spacing w:after="0" w:line="240" w:lineRule="auto"/>
        <w:jc w:val="both"/>
      </w:pPr>
    </w:p>
    <w:p w14:paraId="49AFC1B3" w14:textId="77777777" w:rsidR="00EA47AF" w:rsidRDefault="00466A6E" w:rsidP="00466A6E">
      <w:pPr>
        <w:spacing w:after="0" w:line="240" w:lineRule="auto"/>
        <w:jc w:val="both"/>
      </w:pPr>
      <w:r>
        <w:t>Subjekt údajů má právo v případě pochybností požadovat od správce veškeré informace a má právo podat stížnost na správce dozorovému úřadu, kterým je</w:t>
      </w:r>
      <w:r w:rsidR="00EA47AF">
        <w:t>:</w:t>
      </w:r>
    </w:p>
    <w:p w14:paraId="2051B01F" w14:textId="2D9BF4F4" w:rsidR="00466A6E" w:rsidRDefault="00466A6E" w:rsidP="00466A6E">
      <w:pPr>
        <w:spacing w:after="0" w:line="240" w:lineRule="auto"/>
        <w:jc w:val="both"/>
      </w:pPr>
    </w:p>
    <w:p w14:paraId="076794FC" w14:textId="76A6D002" w:rsidR="00466A6E" w:rsidRDefault="00466A6E" w:rsidP="00466A6E">
      <w:pPr>
        <w:spacing w:after="0" w:line="240" w:lineRule="auto"/>
        <w:jc w:val="both"/>
      </w:pPr>
      <w:r>
        <w:t xml:space="preserve">Úřad pro ochranu osobních údajů </w:t>
      </w:r>
    </w:p>
    <w:p w14:paraId="2EBB25D1" w14:textId="3CA3AF3F" w:rsidR="00466A6E" w:rsidRDefault="00466A6E" w:rsidP="00466A6E">
      <w:pPr>
        <w:spacing w:after="0" w:line="240" w:lineRule="auto"/>
        <w:jc w:val="both"/>
      </w:pPr>
      <w:r>
        <w:t xml:space="preserve">se sídlem:  </w:t>
      </w:r>
      <w:r>
        <w:tab/>
      </w:r>
      <w:r>
        <w:tab/>
        <w:t>Pplk. Sochora 27, 170 00 Praha 7</w:t>
      </w:r>
    </w:p>
    <w:p w14:paraId="7F969456" w14:textId="297CDA00" w:rsidR="00466A6E" w:rsidRDefault="00466A6E" w:rsidP="00466A6E">
      <w:pPr>
        <w:spacing w:after="0" w:line="240" w:lineRule="auto"/>
        <w:jc w:val="both"/>
      </w:pPr>
      <w:r>
        <w:t xml:space="preserve">telefon: </w:t>
      </w:r>
      <w:r>
        <w:tab/>
      </w:r>
      <w:r>
        <w:tab/>
        <w:t xml:space="preserve">+420 234 665 111 </w:t>
      </w:r>
    </w:p>
    <w:p w14:paraId="5D678CF0" w14:textId="43A7E044" w:rsidR="00466A6E" w:rsidRDefault="00466A6E" w:rsidP="00466A6E">
      <w:pPr>
        <w:spacing w:after="0" w:line="240" w:lineRule="auto"/>
        <w:jc w:val="both"/>
      </w:pPr>
      <w:r>
        <w:t>E-mail:</w:t>
      </w:r>
      <w:r>
        <w:tab/>
      </w:r>
      <w:r>
        <w:tab/>
      </w:r>
      <w:r>
        <w:tab/>
      </w:r>
      <w:hyperlink r:id="rId5" w:history="1">
        <w:r w:rsidRPr="00D67E95">
          <w:rPr>
            <w:rStyle w:val="Hypertextovodkaz"/>
          </w:rPr>
          <w:t>posta@uoou.cz</w:t>
        </w:r>
      </w:hyperlink>
      <w:r>
        <w:t xml:space="preserve"> </w:t>
      </w:r>
    </w:p>
    <w:p w14:paraId="77F171C8" w14:textId="7295C0E8" w:rsidR="00466A6E" w:rsidRDefault="00466A6E" w:rsidP="00466A6E">
      <w:pPr>
        <w:spacing w:after="0" w:line="240" w:lineRule="auto"/>
        <w:jc w:val="both"/>
      </w:pPr>
      <w:r>
        <w:t xml:space="preserve">Datová schránka: </w:t>
      </w:r>
      <w:r>
        <w:tab/>
        <w:t xml:space="preserve">qkbaa2n </w:t>
      </w:r>
    </w:p>
    <w:p w14:paraId="599579E3" w14:textId="2026263D" w:rsidR="00466A6E" w:rsidRDefault="00466A6E" w:rsidP="00466A6E">
      <w:pPr>
        <w:spacing w:after="0" w:line="240" w:lineRule="auto"/>
        <w:jc w:val="both"/>
      </w:pPr>
      <w:r>
        <w:t xml:space="preserve">webové stránky: </w:t>
      </w:r>
      <w:r>
        <w:tab/>
      </w:r>
      <w:hyperlink r:id="rId6" w:history="1">
        <w:r w:rsidRPr="00D67E95">
          <w:rPr>
            <w:rStyle w:val="Hypertextovodkaz"/>
          </w:rPr>
          <w:t>https://www.uoou.cz</w:t>
        </w:r>
      </w:hyperlink>
    </w:p>
    <w:sectPr w:rsidR="00466A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71114"/>
    <w:multiLevelType w:val="hybridMultilevel"/>
    <w:tmpl w:val="C608DADC"/>
    <w:lvl w:ilvl="0" w:tplc="BBB6EE0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0205195"/>
    <w:multiLevelType w:val="hybridMultilevel"/>
    <w:tmpl w:val="5952342C"/>
    <w:lvl w:ilvl="0" w:tplc="BBB6EE0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A6E"/>
    <w:rsid w:val="000028CB"/>
    <w:rsid w:val="00295BBE"/>
    <w:rsid w:val="003270E3"/>
    <w:rsid w:val="003C3D0C"/>
    <w:rsid w:val="00466A6E"/>
    <w:rsid w:val="004D2A25"/>
    <w:rsid w:val="004D7C9D"/>
    <w:rsid w:val="00501258"/>
    <w:rsid w:val="00530F2A"/>
    <w:rsid w:val="006E705C"/>
    <w:rsid w:val="00721FBE"/>
    <w:rsid w:val="00747F5F"/>
    <w:rsid w:val="00783E89"/>
    <w:rsid w:val="00842244"/>
    <w:rsid w:val="008D6580"/>
    <w:rsid w:val="00A975D5"/>
    <w:rsid w:val="00D025E8"/>
    <w:rsid w:val="00DB4F68"/>
    <w:rsid w:val="00E20138"/>
    <w:rsid w:val="00E87656"/>
    <w:rsid w:val="00EA47AF"/>
    <w:rsid w:val="00EB5E15"/>
    <w:rsid w:val="00F2341A"/>
    <w:rsid w:val="00F86E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79514"/>
  <w15:chartTrackingRefBased/>
  <w15:docId w15:val="{E9CC484F-1A77-45A2-AFE3-FC6ED4F4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66A6E"/>
    <w:rPr>
      <w:color w:val="0563C1" w:themeColor="hyperlink"/>
      <w:u w:val="single"/>
    </w:rPr>
  </w:style>
  <w:style w:type="character" w:customStyle="1" w:styleId="UnresolvedMention">
    <w:name w:val="Unresolved Mention"/>
    <w:basedOn w:val="Standardnpsmoodstavce"/>
    <w:uiPriority w:val="99"/>
    <w:semiHidden/>
    <w:unhideWhenUsed/>
    <w:rsid w:val="00466A6E"/>
    <w:rPr>
      <w:color w:val="605E5C"/>
      <w:shd w:val="clear" w:color="auto" w:fill="E1DFDD"/>
    </w:rPr>
  </w:style>
  <w:style w:type="paragraph" w:styleId="Odstavecseseznamem">
    <w:name w:val="List Paragraph"/>
    <w:basedOn w:val="Normln"/>
    <w:uiPriority w:val="34"/>
    <w:qFormat/>
    <w:rsid w:val="00466A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5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oou.cz" TargetMode="External"/><Relationship Id="rId5" Type="http://schemas.openxmlformats.org/officeDocument/2006/relationships/hyperlink" Target="mailto:posta@uoou.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966</Words>
  <Characters>5700</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Haubertová</dc:creator>
  <cp:keywords/>
  <dc:description/>
  <cp:lastModifiedBy>Tomáš Hejzlar</cp:lastModifiedBy>
  <cp:revision>6</cp:revision>
  <dcterms:created xsi:type="dcterms:W3CDTF">2024-08-09T06:06:00Z</dcterms:created>
  <dcterms:modified xsi:type="dcterms:W3CDTF">2024-08-09T06:31:00Z</dcterms:modified>
</cp:coreProperties>
</file>